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Chars="200"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金额：贷款</w:t>
      </w:r>
      <w:r>
        <w:rPr>
          <w:rFonts w:hint="eastAsia" w:ascii="仿宋" w:hAnsi="仿宋" w:eastAsia="仿宋" w:cs="仿宋"/>
          <w:sz w:val="32"/>
          <w:szCs w:val="32"/>
        </w:rPr>
        <w:t>金额、存单金额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不超过5亿元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期限：</w:t>
      </w:r>
      <w:r>
        <w:rPr>
          <w:rFonts w:hint="eastAsia" w:ascii="仿宋" w:hAnsi="仿宋" w:eastAsia="仿宋" w:cs="仿宋"/>
          <w:sz w:val="32"/>
          <w:szCs w:val="32"/>
        </w:rPr>
        <w:t>存单期限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不超过2023年1季度末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贷款期限；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利率：</w:t>
      </w:r>
      <w:r>
        <w:rPr>
          <w:rFonts w:hint="eastAsia" w:ascii="仿宋" w:hAnsi="仿宋" w:eastAsia="仿宋" w:cs="仿宋"/>
          <w:sz w:val="32"/>
          <w:szCs w:val="32"/>
        </w:rPr>
        <w:t>存单利率、贷款利率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贷款要求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包括但不限于存贷款主体要求；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交易结构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包括但不限于贷款资金用途，同时说明</w:t>
      </w:r>
      <w:r>
        <w:rPr>
          <w:rFonts w:hint="eastAsia" w:ascii="仿宋" w:hAnsi="仿宋" w:eastAsia="仿宋" w:cs="仿宋"/>
          <w:sz w:val="32"/>
          <w:szCs w:val="32"/>
        </w:rPr>
        <w:t>是否允许集团内部企业直接借款、是否需要发票等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审批时限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其他需要说明的事项。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B0F55"/>
    <w:multiLevelType w:val="singleLevel"/>
    <w:tmpl w:val="394B0F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DdlZmQxNzM4YjBmZWYyNTE3NTJkN2IxZDg1NWIifQ=="/>
  </w:docVars>
  <w:rsids>
    <w:rsidRoot w:val="42FC2CDB"/>
    <w:rsid w:val="42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2023-02-09T01:46:00Z</dcterms:created>
  <dc:creator>Administrator</dc:creator>
  <cp:lastModifiedBy>Administrator</cp:lastModifiedBy>
  <dcterms:modified xsi:type="dcterms:W3CDTF">2023-02-09T01:48:56Z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168E60781A8D44F4831FE98BD1C016DE</vt:lpwstr>
  </property>
</Properties>
</file>